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5FB00" w14:textId="3D4EF2B5" w:rsidR="0099321A" w:rsidRDefault="0099321A" w:rsidP="00477096">
      <w:pPr>
        <w:pStyle w:val="NoSpacing"/>
        <w:jc w:val="center"/>
        <w:rPr>
          <w:rFonts w:cstheme="minorHAnsi"/>
          <w:b/>
          <w:color w:val="C00000"/>
          <w:sz w:val="32"/>
        </w:rPr>
      </w:pPr>
      <w:r>
        <w:rPr>
          <w:rFonts w:cstheme="minorHAnsi"/>
          <w:b/>
          <w:color w:val="C00000"/>
          <w:sz w:val="32"/>
        </w:rPr>
        <w:t xml:space="preserve">SPECIFICATION FOR </w:t>
      </w:r>
      <w:r w:rsidR="00015B62">
        <w:rPr>
          <w:rFonts w:cstheme="minorHAnsi"/>
          <w:b/>
          <w:color w:val="C00000"/>
          <w:sz w:val="32"/>
        </w:rPr>
        <w:t>STANDARD-DUTY ALUMINUM</w:t>
      </w:r>
      <w:r w:rsidR="004F6E4E">
        <w:rPr>
          <w:rFonts w:cstheme="minorHAnsi"/>
          <w:b/>
          <w:color w:val="C00000"/>
          <w:sz w:val="32"/>
        </w:rPr>
        <w:t xml:space="preserve"> </w:t>
      </w:r>
    </w:p>
    <w:p w14:paraId="66D8E42C" w14:textId="08CD67CF" w:rsidR="00477096" w:rsidRDefault="00015B62" w:rsidP="00015B62">
      <w:pPr>
        <w:pStyle w:val="NoSpacing"/>
        <w:jc w:val="center"/>
        <w:rPr>
          <w:rFonts w:cstheme="minorHAnsi"/>
          <w:b/>
          <w:color w:val="C00000"/>
          <w:sz w:val="32"/>
        </w:rPr>
      </w:pPr>
      <w:r>
        <w:rPr>
          <w:rFonts w:cstheme="minorHAnsi"/>
          <w:b/>
          <w:color w:val="C00000"/>
          <w:sz w:val="32"/>
        </w:rPr>
        <w:t>INTERLOCKING FLAT PANEL COVER</w:t>
      </w:r>
    </w:p>
    <w:p w14:paraId="3EEC42D9" w14:textId="77777777" w:rsidR="00015B62" w:rsidRPr="00166DA7" w:rsidRDefault="00015B62" w:rsidP="00015B62">
      <w:pPr>
        <w:pStyle w:val="NoSpacing"/>
        <w:jc w:val="center"/>
        <w:rPr>
          <w:rFonts w:cstheme="minorHAnsi"/>
          <w:b/>
          <w:color w:val="C00000"/>
          <w:sz w:val="8"/>
          <w:szCs w:val="8"/>
        </w:rPr>
      </w:pPr>
    </w:p>
    <w:p w14:paraId="18E56E8C" w14:textId="77777777" w:rsidR="00015B62" w:rsidRPr="00015B62" w:rsidRDefault="00015B62" w:rsidP="00015B6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015B62">
        <w:rPr>
          <w:rFonts w:ascii="Gill Sans MT" w:eastAsia="Times New Roman" w:hAnsi="Gill Sans MT" w:cs="Times New Roman"/>
          <w:color w:val="000000"/>
          <w:kern w:val="28"/>
          <w:sz w:val="24"/>
          <w:szCs w:val="24"/>
          <w:u w:val="single"/>
          <w:lang w:eastAsia="en-US"/>
          <w14:cntxtAlts/>
        </w:rPr>
        <w:t>GENERAL</w:t>
      </w:r>
    </w:p>
    <w:p w14:paraId="4EDC18B1" w14:textId="77777777" w:rsidR="00015B62" w:rsidRPr="00166DA7" w:rsidRDefault="00015B62" w:rsidP="00015B62">
      <w:pPr>
        <w:widowControl w:val="0"/>
        <w:spacing w:after="0" w:line="240" w:lineRule="auto"/>
        <w:rPr>
          <w:rFonts w:ascii="Gill Sans MT" w:eastAsia="Times New Roman" w:hAnsi="Gill Sans MT" w:cs="Times New Roman"/>
          <w:color w:val="000000"/>
          <w:kern w:val="28"/>
          <w:sz w:val="12"/>
          <w:szCs w:val="12"/>
          <w:lang w:eastAsia="en-US"/>
          <w14:cntxtAlts/>
        </w:rPr>
      </w:pPr>
    </w:p>
    <w:p w14:paraId="3225153D" w14:textId="75CB491F" w:rsidR="00015B62" w:rsidRDefault="00015B62" w:rsidP="00015B62">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Purpose: This specification establishes the minimum criteria for the design, fabrication, and erection of       Standard-Duty Aluminum Interlocking Flat Panel Covers comprised of removable hinged and fixed panels and the associated support members as manufactured by Pleasant Mount Welding, I</w:t>
      </w:r>
      <w:r w:rsidR="00166DA7">
        <w:rPr>
          <w:rFonts w:ascii="Gill Sans MT" w:eastAsia="Times New Roman" w:hAnsi="Gill Sans MT" w:cs="Times New Roman"/>
          <w:color w:val="000000"/>
          <w:kern w:val="28"/>
          <w:sz w:val="24"/>
          <w:szCs w:val="24"/>
          <w:lang w:eastAsia="en-US"/>
          <w14:cntxtAlts/>
        </w:rPr>
        <w:t>nc. (Carbondale, Pennsylvania).</w:t>
      </w:r>
    </w:p>
    <w:p w14:paraId="16C3EF98" w14:textId="77777777" w:rsidR="00166DA7" w:rsidRPr="00166DA7" w:rsidRDefault="00166DA7" w:rsidP="00015B62">
      <w:pPr>
        <w:widowControl w:val="0"/>
        <w:spacing w:after="0" w:line="240" w:lineRule="auto"/>
        <w:rPr>
          <w:rFonts w:ascii="Gill Sans MT" w:eastAsia="Times New Roman" w:hAnsi="Gill Sans MT" w:cs="Times New Roman"/>
          <w:color w:val="000000"/>
          <w:kern w:val="28"/>
          <w:sz w:val="12"/>
          <w:szCs w:val="12"/>
          <w:lang w:eastAsia="en-US"/>
          <w14:cntxtAlts/>
        </w:rPr>
      </w:pPr>
    </w:p>
    <w:p w14:paraId="7AC1D807" w14:textId="77777777" w:rsidR="00015B62" w:rsidRPr="00015B62" w:rsidRDefault="00015B62" w:rsidP="00015B62">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Scope of Work: Provide all labor, materials, and equipment required to supply a complete system of removable flat panel aluminum interlocking covers. The Standard-Duty Aluminum Interlocking Cover includes cover panels, structural supports (Interlock Beams and Structural Support Members), and attaching hardware.</w:t>
      </w:r>
    </w:p>
    <w:p w14:paraId="79896D11" w14:textId="24361D1C" w:rsidR="00015B62" w:rsidRPr="00015B62" w:rsidRDefault="00015B62" w:rsidP="00015B62">
      <w:pPr>
        <w:widowControl w:val="0"/>
        <w:spacing w:after="0" w:line="240" w:lineRule="auto"/>
        <w:rPr>
          <w:rFonts w:ascii="Gill Sans MT" w:eastAsia="Times New Roman" w:hAnsi="Gill Sans MT" w:cs="Times New Roman"/>
          <w:color w:val="000000"/>
          <w:kern w:val="28"/>
          <w:sz w:val="16"/>
          <w:szCs w:val="16"/>
          <w:lang w:eastAsia="en-US"/>
          <w14:cntxtAlts/>
        </w:rPr>
      </w:pPr>
    </w:p>
    <w:p w14:paraId="282A0E01" w14:textId="77777777" w:rsidR="00015B62" w:rsidRPr="00015B62" w:rsidRDefault="00015B62" w:rsidP="00015B6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015B62">
        <w:rPr>
          <w:rFonts w:ascii="Gill Sans MT" w:eastAsia="Times New Roman" w:hAnsi="Gill Sans MT" w:cs="Times New Roman"/>
          <w:color w:val="000000"/>
          <w:kern w:val="28"/>
          <w:sz w:val="24"/>
          <w:szCs w:val="24"/>
          <w:u w:val="single"/>
          <w:lang w:eastAsia="en-US"/>
          <w14:cntxtAlts/>
        </w:rPr>
        <w:t>ENGINEERING &amp; ACTION SUBMITTALS</w:t>
      </w:r>
    </w:p>
    <w:p w14:paraId="64F2F3C8" w14:textId="77777777" w:rsidR="00166DA7" w:rsidRPr="004F0902" w:rsidRDefault="00166DA7" w:rsidP="00166DA7">
      <w:pPr>
        <w:widowControl w:val="0"/>
        <w:spacing w:after="0" w:line="240" w:lineRule="auto"/>
        <w:rPr>
          <w:rFonts w:ascii="Gill Sans MT" w:eastAsia="Times New Roman" w:hAnsi="Gill Sans MT" w:cs="Times New Roman"/>
          <w:color w:val="000000"/>
          <w:kern w:val="28"/>
          <w:sz w:val="12"/>
          <w:szCs w:val="12"/>
          <w:lang w:eastAsia="en-US"/>
          <w14:cntxtAlts/>
        </w:rPr>
      </w:pPr>
    </w:p>
    <w:p w14:paraId="73A2E754" w14:textId="77777777" w:rsidR="00166DA7" w:rsidRDefault="00015B62" w:rsidP="00166DA7">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Shop Drawings: The contractor shall submit the shop drawings to the Engineer of Record (EOR) for approval for the fabrication of all Aluminum Interlocking Flat Panel Covers based on construction drawings of current issue. The drawings shall be approved and released to the shop before fabrication of the panels. Include plans, sections, shop details, and connections as required by the contract documents. Preliminary drawings shall be stamped by the cover manufacturer’s PE. Final drawings shall be signed and sealed by a registered professional engineer if required by contract documents. All work shall be fabricated and erected in accordance with the approved shop drawings.</w:t>
      </w:r>
    </w:p>
    <w:p w14:paraId="2472CC53" w14:textId="77777777" w:rsidR="00166DA7" w:rsidRPr="004F0902" w:rsidRDefault="00166DA7" w:rsidP="00166DA7">
      <w:pPr>
        <w:widowControl w:val="0"/>
        <w:spacing w:after="0" w:line="240" w:lineRule="auto"/>
        <w:rPr>
          <w:rFonts w:ascii="Gill Sans MT" w:eastAsia="Times New Roman" w:hAnsi="Gill Sans MT" w:cs="Times New Roman"/>
          <w:color w:val="000000"/>
          <w:kern w:val="28"/>
          <w:sz w:val="12"/>
          <w:szCs w:val="12"/>
          <w:lang w:eastAsia="en-US"/>
          <w14:cntxtAlts/>
        </w:rPr>
      </w:pPr>
    </w:p>
    <w:p w14:paraId="5F155504" w14:textId="4B9168EB" w:rsidR="00015B62" w:rsidRPr="00015B62" w:rsidRDefault="00015B62" w:rsidP="00166DA7">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Stress Analysis: Prior to executing any work in this section, complete structural calculations showing the load criteria and governing stresses in all members and connections shall be submitted to the Engineer of Record (EOR) for approval. These calculations shall be signed and sealed by a registered professional engineer if        required by contract documents. All work shall be fabricated and erected in accordance with the approved structural calculations.</w:t>
      </w:r>
    </w:p>
    <w:p w14:paraId="506B6945" w14:textId="4B077FA8" w:rsidR="00015B62" w:rsidRPr="00015B62" w:rsidRDefault="00015B62" w:rsidP="00015B62">
      <w:pPr>
        <w:widowControl w:val="0"/>
        <w:spacing w:after="0" w:line="240" w:lineRule="auto"/>
        <w:rPr>
          <w:rFonts w:ascii="Gill Sans MT" w:eastAsia="Times New Roman" w:hAnsi="Gill Sans MT" w:cs="Times New Roman"/>
          <w:color w:val="000000"/>
          <w:kern w:val="28"/>
          <w:sz w:val="16"/>
          <w:szCs w:val="16"/>
          <w:lang w:eastAsia="en-US"/>
          <w14:cntxtAlts/>
        </w:rPr>
      </w:pPr>
    </w:p>
    <w:p w14:paraId="43B26EB5" w14:textId="77777777" w:rsidR="00015B62" w:rsidRDefault="00015B62" w:rsidP="00015B6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015B62">
        <w:rPr>
          <w:rFonts w:ascii="Gill Sans MT" w:eastAsia="Times New Roman" w:hAnsi="Gill Sans MT" w:cs="Times New Roman"/>
          <w:color w:val="000000"/>
          <w:kern w:val="28"/>
          <w:sz w:val="24"/>
          <w:szCs w:val="24"/>
          <w:u w:val="single"/>
          <w:lang w:eastAsia="en-US"/>
          <w14:cntxtAlts/>
        </w:rPr>
        <w:t>QUALIFICATIONS</w:t>
      </w:r>
    </w:p>
    <w:p w14:paraId="5DE7B2AD" w14:textId="77777777" w:rsidR="00166DA7" w:rsidRPr="00015B62" w:rsidRDefault="00166DA7" w:rsidP="00015B62">
      <w:pPr>
        <w:widowControl w:val="0"/>
        <w:spacing w:after="0" w:line="240" w:lineRule="auto"/>
        <w:rPr>
          <w:rFonts w:ascii="Gill Sans MT" w:eastAsia="Times New Roman" w:hAnsi="Gill Sans MT" w:cs="Times New Roman"/>
          <w:color w:val="000000"/>
          <w:kern w:val="28"/>
          <w:sz w:val="12"/>
          <w:szCs w:val="12"/>
          <w:u w:val="single"/>
          <w:lang w:eastAsia="en-US"/>
          <w14:cntxtAlts/>
        </w:rPr>
      </w:pPr>
    </w:p>
    <w:p w14:paraId="201D34AF" w14:textId="77777777" w:rsidR="00166DA7" w:rsidRDefault="00015B62" w:rsidP="00166DA7">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Manufacturer:</w:t>
      </w:r>
    </w:p>
    <w:p w14:paraId="7651DD5D" w14:textId="77777777" w:rsidR="00166DA7" w:rsidRPr="00166DA7" w:rsidRDefault="00166DA7" w:rsidP="00166DA7">
      <w:pPr>
        <w:widowControl w:val="0"/>
        <w:spacing w:after="0" w:line="240" w:lineRule="auto"/>
        <w:rPr>
          <w:rFonts w:ascii="Gill Sans MT" w:eastAsia="Times New Roman" w:hAnsi="Gill Sans MT" w:cs="Times New Roman"/>
          <w:color w:val="000000"/>
          <w:kern w:val="28"/>
          <w:sz w:val="8"/>
          <w:szCs w:val="8"/>
          <w:lang w:eastAsia="en-US"/>
          <w14:cntxtAlts/>
        </w:rPr>
      </w:pPr>
    </w:p>
    <w:p w14:paraId="5B6931D7" w14:textId="77777777" w:rsidR="00015B62" w:rsidRPr="00015B62" w:rsidRDefault="00015B62" w:rsidP="00166DA7">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Pleasant Mount Welding, Inc.</w:t>
      </w:r>
    </w:p>
    <w:p w14:paraId="6DA9DC3F" w14:textId="77777777" w:rsidR="00015B62" w:rsidRPr="00015B62" w:rsidRDefault="00015B62" w:rsidP="00166DA7">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 xml:space="preserve">45 </w:t>
      </w:r>
      <w:proofErr w:type="spellStart"/>
      <w:r w:rsidRPr="00015B62">
        <w:rPr>
          <w:rFonts w:ascii="Gill Sans MT" w:eastAsia="Times New Roman" w:hAnsi="Gill Sans MT" w:cs="Times New Roman"/>
          <w:color w:val="000000"/>
          <w:kern w:val="28"/>
          <w:sz w:val="24"/>
          <w:szCs w:val="24"/>
          <w:lang w:eastAsia="en-US"/>
          <w14:cntxtAlts/>
        </w:rPr>
        <w:t>Dundaff</w:t>
      </w:r>
      <w:proofErr w:type="spellEnd"/>
      <w:r w:rsidRPr="00015B62">
        <w:rPr>
          <w:rFonts w:ascii="Gill Sans MT" w:eastAsia="Times New Roman" w:hAnsi="Gill Sans MT" w:cs="Times New Roman"/>
          <w:color w:val="000000"/>
          <w:kern w:val="28"/>
          <w:sz w:val="24"/>
          <w:szCs w:val="24"/>
          <w:lang w:eastAsia="en-US"/>
          <w14:cntxtAlts/>
        </w:rPr>
        <w:t xml:space="preserve"> Street, Carbondale, Pennsylvania 18407</w:t>
      </w:r>
    </w:p>
    <w:p w14:paraId="2873403E" w14:textId="77777777" w:rsidR="00015B62" w:rsidRPr="00015B62" w:rsidRDefault="00015B62" w:rsidP="00166DA7">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Phone: (570) 282-6164</w:t>
      </w:r>
      <w:r w:rsidRPr="00015B62">
        <w:rPr>
          <w:rFonts w:ascii="Gill Sans MT" w:eastAsia="Times New Roman" w:hAnsi="Gill Sans MT" w:cs="Times New Roman"/>
          <w:color w:val="000000"/>
          <w:kern w:val="28"/>
          <w:sz w:val="24"/>
          <w:szCs w:val="24"/>
          <w:lang w:eastAsia="en-US"/>
          <w14:cntxtAlts/>
        </w:rPr>
        <w:tab/>
        <w:t>Fax: (570) 282-7917</w:t>
      </w:r>
    </w:p>
    <w:p w14:paraId="68745EF7" w14:textId="77777777" w:rsidR="00015B62" w:rsidRPr="00015B62" w:rsidRDefault="00015B62" w:rsidP="00166DA7">
      <w:pPr>
        <w:widowControl w:val="0"/>
        <w:spacing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 xml:space="preserve">Email: </w:t>
      </w:r>
      <w:hyperlink r:id="rId8" w:history="1">
        <w:r w:rsidRPr="00015B62">
          <w:rPr>
            <w:rFonts w:ascii="Gill Sans MT" w:eastAsia="Times New Roman" w:hAnsi="Gill Sans MT" w:cs="Times New Roman"/>
            <w:color w:val="0066FF"/>
            <w:kern w:val="28"/>
            <w:sz w:val="24"/>
            <w:szCs w:val="24"/>
            <w:u w:val="single"/>
            <w:lang w:eastAsia="en-US"/>
            <w14:cntxtAlts/>
          </w:rPr>
          <w:t>sales@pmwi.net</w:t>
        </w:r>
      </w:hyperlink>
      <w:r w:rsidRPr="00015B62">
        <w:rPr>
          <w:rFonts w:ascii="Gill Sans MT" w:eastAsia="Times New Roman" w:hAnsi="Gill Sans MT" w:cs="Times New Roman"/>
          <w:color w:val="000000"/>
          <w:kern w:val="28"/>
          <w:sz w:val="24"/>
          <w:szCs w:val="24"/>
          <w:lang w:eastAsia="en-US"/>
          <w14:cntxtAlts/>
        </w:rPr>
        <w:tab/>
        <w:t xml:space="preserve">Website: </w:t>
      </w:r>
      <w:hyperlink r:id="rId9" w:history="1">
        <w:r w:rsidRPr="00015B62">
          <w:rPr>
            <w:rFonts w:ascii="Gill Sans MT" w:eastAsia="Times New Roman" w:hAnsi="Gill Sans MT" w:cs="Times New Roman"/>
            <w:color w:val="0066FF"/>
            <w:kern w:val="28"/>
            <w:sz w:val="24"/>
            <w:szCs w:val="24"/>
            <w:u w:val="single"/>
            <w:lang w:eastAsia="en-US"/>
            <w14:cntxtAlts/>
          </w:rPr>
          <w:t>https://www.pmwi.net</w:t>
        </w:r>
      </w:hyperlink>
    </w:p>
    <w:p w14:paraId="536C1EC5" w14:textId="77777777" w:rsidR="00015B62" w:rsidRPr="00015B62" w:rsidRDefault="00015B6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 xml:space="preserve">The Standard-Duty Aluminum Interlocking Flat Panel Covers, as specified, shall be the product of a single   manufacturer regularly engaged in the design, manufacture, and installation of engineered aluminum covers. When requested by the Engineer, submit written evidence to show experience qualifications &amp; facility capabilities for performance of contract requirements. </w:t>
      </w:r>
    </w:p>
    <w:p w14:paraId="75E53AC3" w14:textId="77777777" w:rsidR="00015B62" w:rsidRPr="00015B62" w:rsidRDefault="00015B6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Welders: Welders performing work on the Standard-Duty Aluminum Interlocking Flat Panel Covers shall be qualified within the past two years in accordance with AWS.</w:t>
      </w:r>
    </w:p>
    <w:p w14:paraId="760C4AD0" w14:textId="77777777" w:rsidR="00015B62" w:rsidRPr="00015B62" w:rsidRDefault="00015B62" w:rsidP="00015B62">
      <w:pPr>
        <w:widowControl w:val="0"/>
        <w:spacing w:after="0" w:line="240" w:lineRule="auto"/>
        <w:rPr>
          <w:rFonts w:ascii="Gill Sans MT" w:eastAsia="Times New Roman" w:hAnsi="Gill Sans MT" w:cs="Times New Roman"/>
          <w:color w:val="000000"/>
          <w:kern w:val="28"/>
          <w:sz w:val="16"/>
          <w:szCs w:val="16"/>
          <w:lang w:eastAsia="en-US"/>
          <w14:cntxtAlts/>
        </w:rPr>
      </w:pPr>
      <w:r w:rsidRPr="00015B62">
        <w:rPr>
          <w:rFonts w:ascii="Gill Sans MT" w:eastAsia="Times New Roman" w:hAnsi="Gill Sans MT" w:cs="Times New Roman"/>
          <w:color w:val="000000"/>
          <w:kern w:val="28"/>
          <w:sz w:val="16"/>
          <w:szCs w:val="16"/>
          <w:lang w:eastAsia="en-US"/>
          <w14:cntxtAlts/>
        </w:rPr>
        <w:t> </w:t>
      </w:r>
    </w:p>
    <w:p w14:paraId="509F170E" w14:textId="77777777" w:rsidR="00015B62" w:rsidRPr="00015B62" w:rsidRDefault="00015B62" w:rsidP="00015B6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015B62">
        <w:rPr>
          <w:rFonts w:ascii="Gill Sans MT" w:eastAsia="Times New Roman" w:hAnsi="Gill Sans MT" w:cs="Times New Roman"/>
          <w:color w:val="000000"/>
          <w:kern w:val="28"/>
          <w:sz w:val="24"/>
          <w:szCs w:val="24"/>
          <w:u w:val="single"/>
          <w:lang w:eastAsia="en-US"/>
          <w14:cntxtAlts/>
        </w:rPr>
        <w:t>PERFORMANCE &amp; DESIGN</w:t>
      </w:r>
    </w:p>
    <w:p w14:paraId="024459EB" w14:textId="77777777" w:rsidR="00015B62" w:rsidRPr="00015B62" w:rsidRDefault="00015B62" w:rsidP="00015B6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Span: The clear span length of the cover shall be as noted in the contract documents.</w:t>
      </w:r>
    </w:p>
    <w:p w14:paraId="133A3A15" w14:textId="77777777" w:rsidR="00015B62" w:rsidRPr="00015B62" w:rsidRDefault="00015B62" w:rsidP="00015B6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Width: The width of the cover shall be as noted in the contract documents.</w:t>
      </w:r>
    </w:p>
    <w:p w14:paraId="3BD2E377" w14:textId="77777777" w:rsidR="00015B62" w:rsidRPr="00015B62" w:rsidRDefault="00015B62" w:rsidP="00015B6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 xml:space="preserve">Distributed Design Live Load &amp; Deflections: All structural components shall be designed to support the dead weight of the structure, plus a live load of 50 pounds per square foot of surface. The maximum deflection of any component under this load shall not exceed L/240 of the span of that component.  In no event shall the dead load deflection of any component cause surface ponding. </w:t>
      </w:r>
    </w:p>
    <w:p w14:paraId="30146883" w14:textId="0CF16D04" w:rsidR="00B12775" w:rsidRDefault="00015B6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015B62">
        <w:rPr>
          <w:rFonts w:ascii="Gill Sans MT" w:eastAsia="Times New Roman" w:hAnsi="Gill Sans MT" w:cs="Times New Roman"/>
          <w:color w:val="000000"/>
          <w:kern w:val="28"/>
          <w:sz w:val="24"/>
          <w:szCs w:val="24"/>
          <w:lang w:eastAsia="en-US"/>
          <w14:cntxtAlts/>
        </w:rPr>
        <w:t>Concentrated Live Load: All structural components shall be designed to support a 400-pound load on a 6”x 6” area located anywhere on the surface of the structure without permanently deforming the tested area.</w:t>
      </w:r>
    </w:p>
    <w:p w14:paraId="0B8934C2"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lastRenderedPageBreak/>
        <w:t xml:space="preserve">Design Stresses: All aluminum structural members and connections shall be designed in accordance with the Aluminum Association’s “Specification for Aluminum Structures” for building-type structures. </w:t>
      </w:r>
    </w:p>
    <w:p w14:paraId="29B9AED3" w14:textId="3675FB30"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 xml:space="preserve">Slip Resistance: The </w:t>
      </w:r>
      <w:r w:rsidR="001B56D6">
        <w:rPr>
          <w:rFonts w:ascii="Gill Sans MT" w:eastAsia="Times New Roman" w:hAnsi="Gill Sans MT" w:cs="Times New Roman"/>
          <w:color w:val="000000"/>
          <w:kern w:val="28"/>
          <w:sz w:val="24"/>
          <w:szCs w:val="24"/>
          <w:lang w:eastAsia="en-US"/>
          <w14:cntxtAlts/>
        </w:rPr>
        <w:t>aluminum flat panel interlocking cover</w:t>
      </w:r>
      <w:r w:rsidRPr="004F0902">
        <w:rPr>
          <w:rFonts w:ascii="Gill Sans MT" w:eastAsia="Times New Roman" w:hAnsi="Gill Sans MT" w:cs="Times New Roman"/>
          <w:color w:val="000000"/>
          <w:kern w:val="28"/>
          <w:sz w:val="24"/>
          <w:szCs w:val="24"/>
          <w:lang w:eastAsia="en-US"/>
          <w14:cntxtAlts/>
        </w:rPr>
        <w:t xml:space="preserve"> shall have a non-skid sur</w:t>
      </w:r>
      <w:r>
        <w:rPr>
          <w:rFonts w:ascii="Gill Sans MT" w:eastAsia="Times New Roman" w:hAnsi="Gill Sans MT" w:cs="Times New Roman"/>
          <w:color w:val="000000"/>
          <w:kern w:val="28"/>
          <w:sz w:val="24"/>
          <w:szCs w:val="24"/>
          <w:lang w:eastAsia="en-US"/>
          <w14:cntxtAlts/>
        </w:rPr>
        <w:t xml:space="preserve">face and no exposed area of the </w:t>
      </w:r>
      <w:r w:rsidRPr="004F0902">
        <w:rPr>
          <w:rFonts w:ascii="Gill Sans MT" w:eastAsia="Times New Roman" w:hAnsi="Gill Sans MT" w:cs="Times New Roman"/>
          <w:color w:val="000000"/>
          <w:kern w:val="28"/>
          <w:sz w:val="24"/>
          <w:szCs w:val="24"/>
          <w:lang w:eastAsia="en-US"/>
          <w14:cntxtAlts/>
        </w:rPr>
        <w:t>cover system wider than 1.75” shall be witho</w:t>
      </w:r>
      <w:r>
        <w:rPr>
          <w:rFonts w:ascii="Gill Sans MT" w:eastAsia="Times New Roman" w:hAnsi="Gill Sans MT" w:cs="Times New Roman"/>
          <w:color w:val="000000"/>
          <w:kern w:val="28"/>
          <w:sz w:val="24"/>
          <w:szCs w:val="24"/>
          <w:lang w:eastAsia="en-US"/>
          <w14:cntxtAlts/>
        </w:rPr>
        <w:t xml:space="preserve">ut striations/non-skid surface. </w:t>
      </w:r>
      <w:r w:rsidRPr="004F0902">
        <w:rPr>
          <w:rFonts w:ascii="Gill Sans MT" w:eastAsia="Times New Roman" w:hAnsi="Gill Sans MT" w:cs="Times New Roman"/>
          <w:color w:val="000000"/>
          <w:kern w:val="28"/>
          <w:sz w:val="24"/>
          <w:szCs w:val="24"/>
          <w:lang w:eastAsia="en-US"/>
          <w14:cntxtAlts/>
        </w:rPr>
        <w:t>The</w:t>
      </w:r>
      <w:r w:rsidR="001B56D6">
        <w:rPr>
          <w:rFonts w:ascii="Gill Sans MT" w:eastAsia="Times New Roman" w:hAnsi="Gill Sans MT" w:cs="Times New Roman"/>
          <w:color w:val="000000"/>
          <w:kern w:val="28"/>
          <w:sz w:val="24"/>
          <w:szCs w:val="24"/>
          <w:lang w:eastAsia="en-US"/>
          <w14:cntxtAlts/>
        </w:rPr>
        <w:t xml:space="preserve"> </w:t>
      </w:r>
      <w:r w:rsidRPr="004F0902">
        <w:rPr>
          <w:rFonts w:ascii="Gill Sans MT" w:eastAsia="Times New Roman" w:hAnsi="Gill Sans MT" w:cs="Times New Roman"/>
          <w:color w:val="000000"/>
          <w:kern w:val="28"/>
          <w:sz w:val="24"/>
          <w:szCs w:val="24"/>
          <w:lang w:eastAsia="en-US"/>
          <w14:cntxtAlts/>
        </w:rPr>
        <w:t xml:space="preserve">aluminum cover plank (decking) </w:t>
      </w:r>
      <w:r w:rsidR="001B56D6">
        <w:rPr>
          <w:rFonts w:ascii="Gill Sans MT" w:eastAsia="Times New Roman" w:hAnsi="Gill Sans MT" w:cs="Times New Roman"/>
          <w:color w:val="000000"/>
          <w:kern w:val="28"/>
          <w:sz w:val="24"/>
          <w:szCs w:val="24"/>
          <w:lang w:eastAsia="en-US"/>
          <w14:cntxtAlts/>
        </w:rPr>
        <w:t>of the Standard</w:t>
      </w:r>
      <w:bookmarkStart w:id="0" w:name="_GoBack"/>
      <w:bookmarkEnd w:id="0"/>
      <w:r w:rsidR="001B56D6">
        <w:rPr>
          <w:rFonts w:ascii="Gill Sans MT" w:eastAsia="Times New Roman" w:hAnsi="Gill Sans MT" w:cs="Times New Roman"/>
          <w:color w:val="000000"/>
          <w:kern w:val="28"/>
          <w:sz w:val="24"/>
          <w:szCs w:val="24"/>
          <w:lang w:eastAsia="en-US"/>
          <w14:cntxtAlts/>
        </w:rPr>
        <w:t>-Duty Interlocking Cover shall be</w:t>
      </w:r>
      <w:r w:rsidRPr="004F0902">
        <w:rPr>
          <w:rFonts w:ascii="Gill Sans MT" w:eastAsia="Times New Roman" w:hAnsi="Gill Sans MT" w:cs="Times New Roman"/>
          <w:color w:val="000000"/>
          <w:kern w:val="28"/>
          <w:sz w:val="24"/>
          <w:szCs w:val="24"/>
          <w:lang w:eastAsia="en-US"/>
          <w14:cntxtAlts/>
        </w:rPr>
        <w:t xml:space="preserve"> ribbed with concave and convex striations to prevent slip</w:t>
      </w:r>
      <w:r w:rsidR="001B56D6">
        <w:rPr>
          <w:rFonts w:ascii="Gill Sans MT" w:eastAsia="Times New Roman" w:hAnsi="Gill Sans MT" w:cs="Times New Roman"/>
          <w:color w:val="000000"/>
          <w:kern w:val="28"/>
          <w:sz w:val="24"/>
          <w:szCs w:val="24"/>
          <w:lang w:eastAsia="en-US"/>
          <w14:cntxtAlts/>
        </w:rPr>
        <w:t xml:space="preserve">ping and to assist </w:t>
      </w:r>
      <w:r w:rsidRPr="004F0902">
        <w:rPr>
          <w:rFonts w:ascii="Gill Sans MT" w:eastAsia="Times New Roman" w:hAnsi="Gill Sans MT" w:cs="Times New Roman"/>
          <w:color w:val="000000"/>
          <w:kern w:val="28"/>
          <w:sz w:val="24"/>
          <w:szCs w:val="24"/>
          <w:lang w:eastAsia="en-US"/>
          <w14:cntxtAlts/>
        </w:rPr>
        <w:t>in the removal of water from the covers’ surface. The edges of the cover plank</w:t>
      </w:r>
      <w:r w:rsidR="001B56D6">
        <w:rPr>
          <w:rFonts w:ascii="Gill Sans MT" w:eastAsia="Times New Roman" w:hAnsi="Gill Sans MT" w:cs="Times New Roman"/>
          <w:color w:val="000000"/>
          <w:kern w:val="28"/>
          <w:sz w:val="24"/>
          <w:szCs w:val="24"/>
          <w:lang w:eastAsia="en-US"/>
          <w14:cntxtAlts/>
        </w:rPr>
        <w:t xml:space="preserve">s shall double interlock with </w:t>
      </w:r>
      <w:r w:rsidRPr="004F0902">
        <w:rPr>
          <w:rFonts w:ascii="Gill Sans MT" w:eastAsia="Times New Roman" w:hAnsi="Gill Sans MT" w:cs="Times New Roman"/>
          <w:color w:val="000000"/>
          <w:kern w:val="28"/>
          <w:sz w:val="24"/>
          <w:szCs w:val="24"/>
          <w:lang w:eastAsia="en-US"/>
          <w14:cntxtAlts/>
        </w:rPr>
        <w:t>adjacent planks so that the planks shall act together as a single rigid cover panel. This surface shall not be achieved by the use of paint, adhesive tapes, sand blasting, or any other means other than an extruded process.</w:t>
      </w:r>
    </w:p>
    <w:p w14:paraId="53749EE8"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 xml:space="preserve">Chemical Resistance: The aluminum flat panels shall be comprised entirely of 6061-T6 corrosion resistant     aluminum extrusions. Replaceable </w:t>
      </w:r>
      <w:proofErr w:type="spellStart"/>
      <w:r w:rsidRPr="004F0902">
        <w:rPr>
          <w:rFonts w:ascii="Gill Sans MT" w:eastAsia="Times New Roman" w:hAnsi="Gill Sans MT" w:cs="Times New Roman"/>
          <w:color w:val="000000"/>
          <w:kern w:val="28"/>
          <w:sz w:val="24"/>
          <w:szCs w:val="24"/>
          <w:lang w:eastAsia="en-US"/>
          <w14:cntxtAlts/>
        </w:rPr>
        <w:t>Santoprene</w:t>
      </w:r>
      <w:proofErr w:type="spellEnd"/>
      <w:r w:rsidRPr="004F0902">
        <w:rPr>
          <w:rFonts w:ascii="Gill Sans MT" w:eastAsia="Times New Roman" w:hAnsi="Gill Sans MT" w:cs="Times New Roman"/>
          <w:color w:val="000000"/>
          <w:kern w:val="28"/>
          <w:sz w:val="24"/>
          <w:szCs w:val="24"/>
          <w:lang w:eastAsia="en-US"/>
          <w14:cntxtAlts/>
        </w:rPr>
        <w:t>™ seals shall isolate the cover perimeter from the concrete and at every panel-to-panel interface to ensure a significantly air-tight enclosure.</w:t>
      </w:r>
    </w:p>
    <w:p w14:paraId="3C010458"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Configuration: The aluminum interlocking flat panel cover shall be composed of panels and support beams. Each cover panel shall use extruded slide locks to resist uplift. The weight of an individual panel shall not exceed 150 pounds. Each panel can be easily removed or replaced via fully unlatching the slide lock assemblies and removing the hatch door panel without disruption of adjacent panels. Some panels may also require removal of attachment bolts. The required lifting force shall not exceed the dead weight of the cover panel.</w:t>
      </w:r>
    </w:p>
    <w:p w14:paraId="0E108A8D" w14:textId="77777777" w:rsidR="004F0902" w:rsidRPr="00684EE3" w:rsidRDefault="004F0902" w:rsidP="004F0902">
      <w:pPr>
        <w:widowControl w:val="0"/>
        <w:spacing w:after="0" w:line="240" w:lineRule="auto"/>
        <w:rPr>
          <w:rFonts w:ascii="Gill Sans MT" w:eastAsia="Times New Roman" w:hAnsi="Gill Sans MT" w:cs="Times New Roman"/>
          <w:color w:val="000000"/>
          <w:kern w:val="28"/>
          <w:sz w:val="20"/>
          <w:szCs w:val="20"/>
          <w:lang w:eastAsia="en-US"/>
          <w14:cntxtAlts/>
        </w:rPr>
      </w:pPr>
      <w:r w:rsidRPr="00684EE3">
        <w:rPr>
          <w:rFonts w:ascii="Gill Sans MT" w:eastAsia="Times New Roman" w:hAnsi="Gill Sans MT" w:cs="Times New Roman"/>
          <w:color w:val="000000"/>
          <w:kern w:val="28"/>
          <w:sz w:val="20"/>
          <w:szCs w:val="20"/>
          <w:lang w:eastAsia="en-US"/>
          <w14:cntxtAlts/>
        </w:rPr>
        <w:t> </w:t>
      </w:r>
    </w:p>
    <w:p w14:paraId="2B9FE9E3" w14:textId="77777777" w:rsidR="004F0902" w:rsidRPr="004F0902" w:rsidRDefault="004F0902" w:rsidP="004F090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4F0902">
        <w:rPr>
          <w:rFonts w:ascii="Gill Sans MT" w:eastAsia="Times New Roman" w:hAnsi="Gill Sans MT" w:cs="Times New Roman"/>
          <w:color w:val="000000"/>
          <w:kern w:val="28"/>
          <w:sz w:val="24"/>
          <w:szCs w:val="24"/>
          <w:u w:val="single"/>
          <w:lang w:eastAsia="en-US"/>
          <w14:cntxtAlts/>
        </w:rPr>
        <w:t>MATERIALS</w:t>
      </w:r>
    </w:p>
    <w:p w14:paraId="30DC78D1" w14:textId="5CDD08F0"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Aluminum: All extrusions that comprise Pleasant Mount Welding, Inc.’s Aluminum Interlocking Flat Panel Cover shall be alloy 6061-T6, of sufficient section modulus and moment of inertia to withstand the desi</w:t>
      </w:r>
      <w:r>
        <w:rPr>
          <w:rFonts w:ascii="Gill Sans MT" w:eastAsia="Times New Roman" w:hAnsi="Gill Sans MT" w:cs="Times New Roman"/>
          <w:color w:val="000000"/>
          <w:kern w:val="28"/>
          <w:sz w:val="24"/>
          <w:szCs w:val="24"/>
          <w:lang w:eastAsia="en-US"/>
          <w14:cntxtAlts/>
        </w:rPr>
        <w:t xml:space="preserve">gn loads. </w:t>
      </w:r>
      <w:r w:rsidRPr="004F0902">
        <w:rPr>
          <w:rFonts w:ascii="Gill Sans MT" w:eastAsia="Times New Roman" w:hAnsi="Gill Sans MT" w:cs="Times New Roman"/>
          <w:color w:val="000000"/>
          <w:kern w:val="28"/>
          <w:sz w:val="24"/>
          <w:szCs w:val="24"/>
          <w:lang w:eastAsia="en-US"/>
          <w14:cntxtAlts/>
        </w:rPr>
        <w:t>Material shall be of top quality.</w:t>
      </w:r>
    </w:p>
    <w:p w14:paraId="1513AB1E"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Welding Electrodes: Welding shall be done with electrodes of an alloy which shall produce welds with strength and corrosion resistance characteristics compatible to the base material.</w:t>
      </w:r>
    </w:p>
    <w:p w14:paraId="2E98526D"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Fasteners: All fasteners between aluminum components shall be stainless steel. Beams and shelf angles shall be fastened to concrete using stainless steel drill in place anchor bolts.</w:t>
      </w:r>
    </w:p>
    <w:p w14:paraId="249EDFBD"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Steel Accessories: No carbon steel components shall be used.</w:t>
      </w:r>
    </w:p>
    <w:p w14:paraId="7DFA1BB7"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 xml:space="preserve">Gaskets: Replaceable </w:t>
      </w:r>
      <w:proofErr w:type="spellStart"/>
      <w:r w:rsidRPr="004F0902">
        <w:rPr>
          <w:rFonts w:ascii="Gill Sans MT" w:eastAsia="Times New Roman" w:hAnsi="Gill Sans MT" w:cs="Times New Roman"/>
          <w:color w:val="000000"/>
          <w:kern w:val="28"/>
          <w:sz w:val="24"/>
          <w:szCs w:val="24"/>
          <w:lang w:eastAsia="en-US"/>
          <w14:cntxtAlts/>
        </w:rPr>
        <w:t>Santoprene</w:t>
      </w:r>
      <w:proofErr w:type="spellEnd"/>
      <w:r w:rsidRPr="004F0902">
        <w:rPr>
          <w:rFonts w:ascii="Gill Sans MT" w:eastAsia="Times New Roman" w:hAnsi="Gill Sans MT" w:cs="Times New Roman"/>
          <w:color w:val="000000"/>
          <w:kern w:val="28"/>
          <w:sz w:val="24"/>
          <w:szCs w:val="24"/>
          <w:lang w:eastAsia="en-US"/>
          <w14:cntxtAlts/>
        </w:rPr>
        <w:t xml:space="preserve">™ seals shall be used to isolate the aluminum cover perimeter from the concrete and at all panel-to-panel interfaces. </w:t>
      </w:r>
    </w:p>
    <w:p w14:paraId="7F06354F" w14:textId="77777777" w:rsidR="004F0902" w:rsidRPr="00684EE3" w:rsidRDefault="004F0902" w:rsidP="004F0902">
      <w:pPr>
        <w:widowControl w:val="0"/>
        <w:spacing w:after="0" w:line="240" w:lineRule="auto"/>
        <w:rPr>
          <w:rFonts w:ascii="Gill Sans MT" w:eastAsia="Times New Roman" w:hAnsi="Gill Sans MT" w:cs="Times New Roman"/>
          <w:color w:val="000000"/>
          <w:kern w:val="28"/>
          <w:sz w:val="20"/>
          <w:szCs w:val="20"/>
          <w:lang w:eastAsia="en-US"/>
          <w14:cntxtAlts/>
        </w:rPr>
      </w:pPr>
      <w:r w:rsidRPr="00684EE3">
        <w:rPr>
          <w:rFonts w:ascii="Gill Sans MT" w:eastAsia="Times New Roman" w:hAnsi="Gill Sans MT" w:cs="Times New Roman"/>
          <w:color w:val="000000"/>
          <w:kern w:val="28"/>
          <w:sz w:val="20"/>
          <w:szCs w:val="20"/>
          <w:lang w:eastAsia="en-US"/>
          <w14:cntxtAlts/>
        </w:rPr>
        <w:t> </w:t>
      </w:r>
    </w:p>
    <w:p w14:paraId="2C382564" w14:textId="77777777" w:rsidR="004F0902" w:rsidRPr="004F0902" w:rsidRDefault="004F0902" w:rsidP="004F090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4F0902">
        <w:rPr>
          <w:rFonts w:ascii="Gill Sans MT" w:eastAsia="Times New Roman" w:hAnsi="Gill Sans MT" w:cs="Times New Roman"/>
          <w:color w:val="000000"/>
          <w:kern w:val="28"/>
          <w:sz w:val="24"/>
          <w:szCs w:val="24"/>
          <w:u w:val="single"/>
          <w:lang w:eastAsia="en-US"/>
          <w14:cntxtAlts/>
        </w:rPr>
        <w:t>WORKMANSHIP</w:t>
      </w:r>
    </w:p>
    <w:p w14:paraId="00FF3364"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 xml:space="preserve">The quality of the workmanship, fabrication, and shop connections shall be in accordance with the latest edition of ANSI/AWS D1.2 Structural Welding Code – Aluminum. </w:t>
      </w:r>
    </w:p>
    <w:p w14:paraId="5963306F" w14:textId="724155F7" w:rsidR="004F0902" w:rsidRPr="00684EE3" w:rsidRDefault="004F0902" w:rsidP="004F0902">
      <w:pPr>
        <w:widowControl w:val="0"/>
        <w:spacing w:after="0" w:line="240" w:lineRule="auto"/>
        <w:rPr>
          <w:rFonts w:ascii="Gill Sans MT" w:eastAsia="Times New Roman" w:hAnsi="Gill Sans MT" w:cs="Times New Roman"/>
          <w:color w:val="000000"/>
          <w:kern w:val="28"/>
          <w:sz w:val="20"/>
          <w:szCs w:val="20"/>
          <w:lang w:eastAsia="en-US"/>
          <w14:cntxtAlts/>
        </w:rPr>
      </w:pPr>
    </w:p>
    <w:p w14:paraId="4D45F980" w14:textId="77777777" w:rsidR="004F0902" w:rsidRPr="004F0902" w:rsidRDefault="004F0902" w:rsidP="004F090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4F0902">
        <w:rPr>
          <w:rFonts w:ascii="Gill Sans MT" w:eastAsia="Times New Roman" w:hAnsi="Gill Sans MT" w:cs="Times New Roman"/>
          <w:color w:val="000000"/>
          <w:kern w:val="28"/>
          <w:sz w:val="24"/>
          <w:szCs w:val="24"/>
          <w:u w:val="single"/>
          <w:lang w:eastAsia="en-US"/>
          <w14:cntxtAlts/>
        </w:rPr>
        <w:t>CONTRACTOR INSTALLATION</w:t>
      </w:r>
    </w:p>
    <w:p w14:paraId="10818D60"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 xml:space="preserve">The cover manufacturer can provide installation instructions, on-site supervision, and inspection if required. </w:t>
      </w:r>
    </w:p>
    <w:p w14:paraId="37E5497F" w14:textId="77777777" w:rsidR="00684EE3" w:rsidRPr="00684EE3" w:rsidRDefault="00684EE3" w:rsidP="004F0902">
      <w:pPr>
        <w:widowControl w:val="0"/>
        <w:spacing w:after="0" w:line="240" w:lineRule="auto"/>
        <w:rPr>
          <w:rFonts w:ascii="Gill Sans MT" w:eastAsia="Times New Roman" w:hAnsi="Gill Sans MT" w:cs="Times New Roman"/>
          <w:color w:val="000000"/>
          <w:kern w:val="28"/>
          <w:sz w:val="20"/>
          <w:szCs w:val="20"/>
          <w:u w:val="single"/>
          <w:lang w:eastAsia="en-US"/>
          <w14:cntxtAlts/>
        </w:rPr>
      </w:pPr>
    </w:p>
    <w:p w14:paraId="4ACEB5C9" w14:textId="77777777" w:rsidR="004F0902" w:rsidRPr="004F0902" w:rsidRDefault="004F0902" w:rsidP="004F090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4F0902">
        <w:rPr>
          <w:rFonts w:ascii="Gill Sans MT" w:eastAsia="Times New Roman" w:hAnsi="Gill Sans MT" w:cs="Times New Roman"/>
          <w:color w:val="000000"/>
          <w:kern w:val="28"/>
          <w:sz w:val="24"/>
          <w:szCs w:val="24"/>
          <w:u w:val="single"/>
          <w:lang w:eastAsia="en-US"/>
          <w14:cntxtAlts/>
        </w:rPr>
        <w:t>ENVIRONMENTAL CONSIDERATIONS</w:t>
      </w:r>
    </w:p>
    <w:p w14:paraId="7720B1B0"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All aluminum used in these Flat Panel Cover Systems are presumed to be recyclable upon demolition.</w:t>
      </w:r>
    </w:p>
    <w:p w14:paraId="3C4DACB1" w14:textId="77777777" w:rsidR="004F0902" w:rsidRPr="00684EE3" w:rsidRDefault="004F0902" w:rsidP="004F0902">
      <w:pPr>
        <w:widowControl w:val="0"/>
        <w:spacing w:after="0" w:line="240" w:lineRule="auto"/>
        <w:rPr>
          <w:rFonts w:ascii="Gill Sans MT" w:eastAsia="Times New Roman" w:hAnsi="Gill Sans MT" w:cs="Times New Roman"/>
          <w:color w:val="000000"/>
          <w:kern w:val="28"/>
          <w:sz w:val="20"/>
          <w:szCs w:val="20"/>
          <w:lang w:eastAsia="en-US"/>
          <w14:cntxtAlts/>
        </w:rPr>
      </w:pPr>
      <w:r w:rsidRPr="00684EE3">
        <w:rPr>
          <w:rFonts w:ascii="Gill Sans MT" w:eastAsia="Times New Roman" w:hAnsi="Gill Sans MT" w:cs="Times New Roman"/>
          <w:color w:val="000000"/>
          <w:kern w:val="28"/>
          <w:sz w:val="20"/>
          <w:szCs w:val="20"/>
          <w:lang w:eastAsia="en-US"/>
          <w14:cntxtAlts/>
        </w:rPr>
        <w:t> </w:t>
      </w:r>
    </w:p>
    <w:p w14:paraId="0AE6D09B" w14:textId="77777777" w:rsidR="004F0902" w:rsidRPr="004F0902" w:rsidRDefault="004F0902" w:rsidP="004F0902">
      <w:pPr>
        <w:widowControl w:val="0"/>
        <w:spacing w:after="0" w:line="240" w:lineRule="auto"/>
        <w:rPr>
          <w:rFonts w:ascii="Gill Sans MT" w:eastAsia="Times New Roman" w:hAnsi="Gill Sans MT" w:cs="Times New Roman"/>
          <w:color w:val="000000"/>
          <w:kern w:val="28"/>
          <w:sz w:val="24"/>
          <w:szCs w:val="24"/>
          <w:u w:val="single"/>
          <w:lang w:eastAsia="en-US"/>
          <w14:cntxtAlts/>
        </w:rPr>
      </w:pPr>
      <w:r w:rsidRPr="004F0902">
        <w:rPr>
          <w:rFonts w:ascii="Gill Sans MT" w:eastAsia="Times New Roman" w:hAnsi="Gill Sans MT" w:cs="Times New Roman"/>
          <w:color w:val="000000"/>
          <w:kern w:val="28"/>
          <w:sz w:val="24"/>
          <w:szCs w:val="24"/>
          <w:u w:val="single"/>
          <w:lang w:eastAsia="en-US"/>
          <w14:cntxtAlts/>
        </w:rPr>
        <w:t>OPERATION &amp; MAINTENANCE MANUAL</w:t>
      </w:r>
    </w:p>
    <w:p w14:paraId="53DD76AA" w14:textId="5950D059"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r w:rsidRPr="004F0902">
        <w:rPr>
          <w:rFonts w:ascii="Gill Sans MT" w:eastAsia="Times New Roman" w:hAnsi="Gill Sans MT" w:cs="Times New Roman"/>
          <w:color w:val="000000"/>
          <w:kern w:val="28"/>
          <w:sz w:val="24"/>
          <w:szCs w:val="24"/>
          <w:lang w:eastAsia="en-US"/>
          <w14:cntxtAlts/>
        </w:rPr>
        <w:t xml:space="preserve">The cover manufacturer shall provide an O&amp;M Manual that includes maintenance instructions, removal </w:t>
      </w:r>
      <w:r>
        <w:rPr>
          <w:rFonts w:ascii="Gill Sans MT" w:eastAsia="Times New Roman" w:hAnsi="Gill Sans MT" w:cs="Times New Roman"/>
          <w:color w:val="000000"/>
          <w:kern w:val="28"/>
          <w:sz w:val="24"/>
          <w:szCs w:val="24"/>
          <w:lang w:eastAsia="en-US"/>
          <w14:cntxtAlts/>
        </w:rPr>
        <w:t xml:space="preserve">and </w:t>
      </w:r>
      <w:r w:rsidRPr="004F0902">
        <w:rPr>
          <w:rFonts w:ascii="Gill Sans MT" w:eastAsia="Times New Roman" w:hAnsi="Gill Sans MT" w:cs="Times New Roman"/>
          <w:color w:val="000000"/>
          <w:kern w:val="28"/>
          <w:sz w:val="24"/>
          <w:szCs w:val="24"/>
          <w:lang w:eastAsia="en-US"/>
          <w14:cntxtAlts/>
        </w:rPr>
        <w:t>replacement instructions, and drawings for the installed cover.</w:t>
      </w:r>
    </w:p>
    <w:p w14:paraId="721E45F9" w14:textId="77777777" w:rsidR="004F0902" w:rsidRPr="004F0902" w:rsidRDefault="004F0902" w:rsidP="004F0902">
      <w:pPr>
        <w:widowControl w:val="0"/>
        <w:spacing w:after="0" w:line="240" w:lineRule="auto"/>
        <w:rPr>
          <w:rFonts w:ascii="Times New Roman" w:eastAsia="Times New Roman" w:hAnsi="Times New Roman" w:cs="Times New Roman"/>
          <w:color w:val="000000"/>
          <w:kern w:val="28"/>
          <w:sz w:val="20"/>
          <w:szCs w:val="20"/>
          <w:lang w:eastAsia="en-US"/>
          <w14:cntxtAlts/>
        </w:rPr>
      </w:pPr>
      <w:r w:rsidRPr="004F0902">
        <w:rPr>
          <w:rFonts w:ascii="Times New Roman" w:eastAsia="Times New Roman" w:hAnsi="Times New Roman" w:cs="Times New Roman"/>
          <w:color w:val="000000"/>
          <w:kern w:val="28"/>
          <w:sz w:val="20"/>
          <w:szCs w:val="20"/>
          <w:lang w:eastAsia="en-US"/>
          <w14:cntxtAlts/>
        </w:rPr>
        <w:t> </w:t>
      </w:r>
    </w:p>
    <w:p w14:paraId="24EFF478" w14:textId="77777777" w:rsidR="004F0902" w:rsidRPr="004F0902" w:rsidRDefault="004F0902" w:rsidP="004F0902">
      <w:pPr>
        <w:widowControl w:val="0"/>
        <w:spacing w:before="120" w:after="0" w:line="240" w:lineRule="auto"/>
        <w:rPr>
          <w:rFonts w:ascii="Gill Sans MT" w:eastAsia="Times New Roman" w:hAnsi="Gill Sans MT" w:cs="Times New Roman"/>
          <w:color w:val="000000"/>
          <w:kern w:val="28"/>
          <w:sz w:val="24"/>
          <w:szCs w:val="24"/>
          <w:lang w:eastAsia="en-US"/>
          <w14:cntxtAlts/>
        </w:rPr>
      </w:pPr>
    </w:p>
    <w:sectPr w:rsidR="004F0902" w:rsidRPr="004F0902" w:rsidSect="00D62B5A">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E45AE" w14:textId="77777777" w:rsidR="007819D3" w:rsidRDefault="007819D3" w:rsidP="00C5038D">
      <w:pPr>
        <w:spacing w:after="0" w:line="240" w:lineRule="auto"/>
      </w:pPr>
      <w:r>
        <w:separator/>
      </w:r>
    </w:p>
  </w:endnote>
  <w:endnote w:type="continuationSeparator" w:id="0">
    <w:p w14:paraId="09A56282" w14:textId="77777777" w:rsidR="007819D3" w:rsidRDefault="007819D3"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9C11" w14:textId="05EBECE8" w:rsidR="005437C3" w:rsidRPr="005437C3" w:rsidRDefault="005437C3" w:rsidP="005437C3">
    <w:pPr>
      <w:pStyle w:val="Footer"/>
      <w:jc w:val="center"/>
      <w:rPr>
        <w:b/>
        <w:bCs/>
      </w:rPr>
    </w:pPr>
    <w:r w:rsidRPr="005437C3">
      <w:rPr>
        <w:rFonts w:ascii="Arial" w:hAnsi="Arial" w:cs="Arial"/>
        <w:b/>
        <w:bCs/>
        <w:color w:val="C00000"/>
      </w:rPr>
      <w:t>■</w:t>
    </w:r>
    <w:r w:rsidRPr="005437C3">
      <w:rPr>
        <w:b/>
        <w:bCs/>
      </w:rPr>
      <w:t xml:space="preserve"> PMWI </w:t>
    </w:r>
    <w:r w:rsidRPr="001748E6">
      <w:rPr>
        <w:rFonts w:ascii="Arial" w:hAnsi="Arial" w:cs="Arial"/>
        <w:b/>
        <w:bCs/>
        <w:color w:val="C00000"/>
      </w:rPr>
      <w:t>■</w:t>
    </w:r>
    <w:r w:rsidRPr="001748E6">
      <w:rPr>
        <w:b/>
        <w:bCs/>
        <w:color w:val="C00000"/>
      </w:rPr>
      <w:t xml:space="preserve"> </w:t>
    </w:r>
    <w:r w:rsidRPr="005437C3">
      <w:rPr>
        <w:b/>
        <w:bCs/>
      </w:rPr>
      <w:t xml:space="preserve">45 Dundaff Street, Carbondale, PA 18407 </w:t>
    </w:r>
    <w:r w:rsidRPr="005437C3">
      <w:rPr>
        <w:rFonts w:ascii="Arial" w:hAnsi="Arial" w:cs="Arial"/>
        <w:b/>
        <w:bCs/>
        <w:color w:val="C00000"/>
      </w:rPr>
      <w:t>■</w:t>
    </w:r>
    <w:r w:rsidRPr="005437C3">
      <w:rPr>
        <w:b/>
        <w:bCs/>
      </w:rPr>
      <w:t xml:space="preserve"> (570) 282-6164 </w:t>
    </w:r>
    <w:r w:rsidRPr="005437C3">
      <w:rPr>
        <w:rFonts w:ascii="Arial" w:hAnsi="Arial" w:cs="Arial"/>
        <w:b/>
        <w:bCs/>
        <w:color w:val="C00000"/>
      </w:rPr>
      <w:t>■</w:t>
    </w:r>
    <w:r>
      <w:rPr>
        <w:rFonts w:ascii="Arial" w:hAnsi="Arial" w:cs="Arial"/>
        <w:b/>
        <w:bCs/>
        <w:color w:val="C00000"/>
      </w:rPr>
      <w:t xml:space="preserve"> </w:t>
    </w:r>
    <w:r>
      <w:rPr>
        <w:b/>
        <w:bCs/>
      </w:rPr>
      <w:t>www.pmwi.net</w:t>
    </w:r>
    <w:r w:rsidRPr="005437C3">
      <w:rPr>
        <w:b/>
        <w:bCs/>
      </w:rPr>
      <w:t xml:space="preserve"> </w:t>
    </w:r>
    <w:r w:rsidRPr="005437C3">
      <w:rPr>
        <w:rFonts w:ascii="Arial" w:hAnsi="Arial" w:cs="Arial"/>
        <w:b/>
        <w:bCs/>
        <w:color w:val="C00000"/>
      </w:rPr>
      <w:t>■</w:t>
    </w:r>
  </w:p>
  <w:p w14:paraId="1D3B5373" w14:textId="77777777" w:rsidR="00453E00" w:rsidRDefault="0045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490D" w14:textId="77777777" w:rsidR="007819D3" w:rsidRDefault="007819D3" w:rsidP="00C5038D">
      <w:pPr>
        <w:spacing w:after="0" w:line="240" w:lineRule="auto"/>
      </w:pPr>
      <w:r>
        <w:separator/>
      </w:r>
    </w:p>
  </w:footnote>
  <w:footnote w:type="continuationSeparator" w:id="0">
    <w:p w14:paraId="46019D21" w14:textId="77777777" w:rsidR="007819D3" w:rsidRDefault="007819D3" w:rsidP="00C50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76C73"/>
    <w:multiLevelType w:val="hybridMultilevel"/>
    <w:tmpl w:val="9600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05AD0"/>
    <w:multiLevelType w:val="hybridMultilevel"/>
    <w:tmpl w:val="0A7C8696"/>
    <w:lvl w:ilvl="0" w:tplc="04090001">
      <w:start w:val="1"/>
      <w:numFmt w:val="bullet"/>
      <w:lvlText w:val=""/>
      <w:lvlJc w:val="left"/>
      <w:pPr>
        <w:ind w:left="4773" w:hanging="360"/>
      </w:pPr>
      <w:rPr>
        <w:rFonts w:ascii="Symbol" w:hAnsi="Symbol" w:hint="default"/>
      </w:rPr>
    </w:lvl>
    <w:lvl w:ilvl="1" w:tplc="04090003" w:tentative="1">
      <w:start w:val="1"/>
      <w:numFmt w:val="bullet"/>
      <w:lvlText w:val="o"/>
      <w:lvlJc w:val="left"/>
      <w:pPr>
        <w:ind w:left="5493" w:hanging="360"/>
      </w:pPr>
      <w:rPr>
        <w:rFonts w:ascii="Courier New" w:hAnsi="Courier New" w:cs="Courier New" w:hint="default"/>
      </w:rPr>
    </w:lvl>
    <w:lvl w:ilvl="2" w:tplc="04090005" w:tentative="1">
      <w:start w:val="1"/>
      <w:numFmt w:val="bullet"/>
      <w:lvlText w:val=""/>
      <w:lvlJc w:val="left"/>
      <w:pPr>
        <w:ind w:left="6213" w:hanging="360"/>
      </w:pPr>
      <w:rPr>
        <w:rFonts w:ascii="Wingdings" w:hAnsi="Wingdings" w:hint="default"/>
      </w:rPr>
    </w:lvl>
    <w:lvl w:ilvl="3" w:tplc="04090001" w:tentative="1">
      <w:start w:val="1"/>
      <w:numFmt w:val="bullet"/>
      <w:lvlText w:val=""/>
      <w:lvlJc w:val="left"/>
      <w:pPr>
        <w:ind w:left="6933" w:hanging="360"/>
      </w:pPr>
      <w:rPr>
        <w:rFonts w:ascii="Symbol" w:hAnsi="Symbol" w:hint="default"/>
      </w:rPr>
    </w:lvl>
    <w:lvl w:ilvl="4" w:tplc="04090003" w:tentative="1">
      <w:start w:val="1"/>
      <w:numFmt w:val="bullet"/>
      <w:lvlText w:val="o"/>
      <w:lvlJc w:val="left"/>
      <w:pPr>
        <w:ind w:left="7653" w:hanging="360"/>
      </w:pPr>
      <w:rPr>
        <w:rFonts w:ascii="Courier New" w:hAnsi="Courier New" w:cs="Courier New" w:hint="default"/>
      </w:rPr>
    </w:lvl>
    <w:lvl w:ilvl="5" w:tplc="04090005" w:tentative="1">
      <w:start w:val="1"/>
      <w:numFmt w:val="bullet"/>
      <w:lvlText w:val=""/>
      <w:lvlJc w:val="left"/>
      <w:pPr>
        <w:ind w:left="8373" w:hanging="360"/>
      </w:pPr>
      <w:rPr>
        <w:rFonts w:ascii="Wingdings" w:hAnsi="Wingdings" w:hint="default"/>
      </w:rPr>
    </w:lvl>
    <w:lvl w:ilvl="6" w:tplc="04090001" w:tentative="1">
      <w:start w:val="1"/>
      <w:numFmt w:val="bullet"/>
      <w:lvlText w:val=""/>
      <w:lvlJc w:val="left"/>
      <w:pPr>
        <w:ind w:left="9093" w:hanging="360"/>
      </w:pPr>
      <w:rPr>
        <w:rFonts w:ascii="Symbol" w:hAnsi="Symbol" w:hint="default"/>
      </w:rPr>
    </w:lvl>
    <w:lvl w:ilvl="7" w:tplc="04090003" w:tentative="1">
      <w:start w:val="1"/>
      <w:numFmt w:val="bullet"/>
      <w:lvlText w:val="o"/>
      <w:lvlJc w:val="left"/>
      <w:pPr>
        <w:ind w:left="9813" w:hanging="360"/>
      </w:pPr>
      <w:rPr>
        <w:rFonts w:ascii="Courier New" w:hAnsi="Courier New" w:cs="Courier New" w:hint="default"/>
      </w:rPr>
    </w:lvl>
    <w:lvl w:ilvl="8" w:tplc="04090005" w:tentative="1">
      <w:start w:val="1"/>
      <w:numFmt w:val="bullet"/>
      <w:lvlText w:val=""/>
      <w:lvlJc w:val="left"/>
      <w:pPr>
        <w:ind w:left="10533" w:hanging="360"/>
      </w:pPr>
      <w:rPr>
        <w:rFonts w:ascii="Wingdings" w:hAnsi="Wingdings" w:hint="default"/>
      </w:rPr>
    </w:lvl>
  </w:abstractNum>
  <w:abstractNum w:abstractNumId="12" w15:restartNumberingAfterBreak="0">
    <w:nsid w:val="16C7790E"/>
    <w:multiLevelType w:val="hybridMultilevel"/>
    <w:tmpl w:val="9D30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40870"/>
    <w:multiLevelType w:val="hybridMultilevel"/>
    <w:tmpl w:val="E60E666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4C575A35"/>
    <w:multiLevelType w:val="hybridMultilevel"/>
    <w:tmpl w:val="221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46"/>
    <w:rsid w:val="00015379"/>
    <w:rsid w:val="00015B62"/>
    <w:rsid w:val="00020E88"/>
    <w:rsid w:val="00026A15"/>
    <w:rsid w:val="00090F89"/>
    <w:rsid w:val="00096E46"/>
    <w:rsid w:val="000B5A9E"/>
    <w:rsid w:val="000E18C9"/>
    <w:rsid w:val="00115FD0"/>
    <w:rsid w:val="00116E88"/>
    <w:rsid w:val="001448A6"/>
    <w:rsid w:val="00166DA7"/>
    <w:rsid w:val="001748E6"/>
    <w:rsid w:val="00181C04"/>
    <w:rsid w:val="00192909"/>
    <w:rsid w:val="001B56D6"/>
    <w:rsid w:val="001F4427"/>
    <w:rsid w:val="001F58FE"/>
    <w:rsid w:val="00202606"/>
    <w:rsid w:val="00221F7D"/>
    <w:rsid w:val="002517E1"/>
    <w:rsid w:val="002B4602"/>
    <w:rsid w:val="002E5546"/>
    <w:rsid w:val="002F6041"/>
    <w:rsid w:val="0036018F"/>
    <w:rsid w:val="00382D27"/>
    <w:rsid w:val="003D32C9"/>
    <w:rsid w:val="003E5B3F"/>
    <w:rsid w:val="003F7E8C"/>
    <w:rsid w:val="00421850"/>
    <w:rsid w:val="0042618F"/>
    <w:rsid w:val="0043171E"/>
    <w:rsid w:val="00453E00"/>
    <w:rsid w:val="00477096"/>
    <w:rsid w:val="004F0902"/>
    <w:rsid w:val="004F460E"/>
    <w:rsid w:val="004F6E4E"/>
    <w:rsid w:val="005000D2"/>
    <w:rsid w:val="005437C3"/>
    <w:rsid w:val="00560817"/>
    <w:rsid w:val="005A6ECA"/>
    <w:rsid w:val="005B2FDA"/>
    <w:rsid w:val="00600499"/>
    <w:rsid w:val="0062562F"/>
    <w:rsid w:val="00651898"/>
    <w:rsid w:val="00684EE3"/>
    <w:rsid w:val="006A3FBB"/>
    <w:rsid w:val="006F3CE1"/>
    <w:rsid w:val="0070271E"/>
    <w:rsid w:val="00710819"/>
    <w:rsid w:val="00721E6B"/>
    <w:rsid w:val="00726150"/>
    <w:rsid w:val="00731298"/>
    <w:rsid w:val="00760474"/>
    <w:rsid w:val="00760E88"/>
    <w:rsid w:val="007819D3"/>
    <w:rsid w:val="007A7992"/>
    <w:rsid w:val="007B77B0"/>
    <w:rsid w:val="007E666A"/>
    <w:rsid w:val="00865712"/>
    <w:rsid w:val="00865F53"/>
    <w:rsid w:val="00874975"/>
    <w:rsid w:val="008A7F58"/>
    <w:rsid w:val="008C7A46"/>
    <w:rsid w:val="008E78FD"/>
    <w:rsid w:val="009003EF"/>
    <w:rsid w:val="009124D1"/>
    <w:rsid w:val="009312C6"/>
    <w:rsid w:val="00986C2E"/>
    <w:rsid w:val="0099321A"/>
    <w:rsid w:val="009A6DB1"/>
    <w:rsid w:val="009A6FDF"/>
    <w:rsid w:val="009A7281"/>
    <w:rsid w:val="009F5E6E"/>
    <w:rsid w:val="00A20937"/>
    <w:rsid w:val="00A37997"/>
    <w:rsid w:val="00A46B39"/>
    <w:rsid w:val="00A56AAB"/>
    <w:rsid w:val="00A57635"/>
    <w:rsid w:val="00A57F52"/>
    <w:rsid w:val="00A918B2"/>
    <w:rsid w:val="00A929C7"/>
    <w:rsid w:val="00AA3029"/>
    <w:rsid w:val="00AA652D"/>
    <w:rsid w:val="00AB17D1"/>
    <w:rsid w:val="00AC0DF8"/>
    <w:rsid w:val="00AD4EB4"/>
    <w:rsid w:val="00AD6AEE"/>
    <w:rsid w:val="00B12775"/>
    <w:rsid w:val="00B25EE7"/>
    <w:rsid w:val="00B303E1"/>
    <w:rsid w:val="00B56C30"/>
    <w:rsid w:val="00B57FC7"/>
    <w:rsid w:val="00BB7A1E"/>
    <w:rsid w:val="00BE1B5A"/>
    <w:rsid w:val="00BF0064"/>
    <w:rsid w:val="00C04B46"/>
    <w:rsid w:val="00C5038D"/>
    <w:rsid w:val="00C531D0"/>
    <w:rsid w:val="00C65EDE"/>
    <w:rsid w:val="00C66148"/>
    <w:rsid w:val="00C9436E"/>
    <w:rsid w:val="00CA0D34"/>
    <w:rsid w:val="00D369DA"/>
    <w:rsid w:val="00D5105E"/>
    <w:rsid w:val="00D62B5A"/>
    <w:rsid w:val="00D73B50"/>
    <w:rsid w:val="00D838EC"/>
    <w:rsid w:val="00DB0FA2"/>
    <w:rsid w:val="00DE053F"/>
    <w:rsid w:val="00DE6735"/>
    <w:rsid w:val="00E21407"/>
    <w:rsid w:val="00E244A8"/>
    <w:rsid w:val="00EB4702"/>
    <w:rsid w:val="00EC6A7A"/>
    <w:rsid w:val="00F01DD3"/>
    <w:rsid w:val="00F32BE5"/>
    <w:rsid w:val="00F804D3"/>
    <w:rsid w:val="00FA60F7"/>
    <w:rsid w:val="00FC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0607B"/>
  <w15:chartTrackingRefBased/>
  <w15:docId w15:val="{69898595-F6B2-4687-970F-B6D3020D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 w:type="character" w:customStyle="1" w:styleId="UnresolvedMention">
    <w:name w:val="Unresolved Mention"/>
    <w:basedOn w:val="DefaultParagraphFont"/>
    <w:uiPriority w:val="99"/>
    <w:semiHidden/>
    <w:unhideWhenUsed/>
    <w:rsid w:val="00D8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1605">
      <w:bodyDiv w:val="1"/>
      <w:marLeft w:val="0"/>
      <w:marRight w:val="0"/>
      <w:marTop w:val="0"/>
      <w:marBottom w:val="0"/>
      <w:divBdr>
        <w:top w:val="none" w:sz="0" w:space="0" w:color="auto"/>
        <w:left w:val="none" w:sz="0" w:space="0" w:color="auto"/>
        <w:bottom w:val="none" w:sz="0" w:space="0" w:color="auto"/>
        <w:right w:val="none" w:sz="0" w:space="0" w:color="auto"/>
      </w:divBdr>
    </w:div>
    <w:div w:id="13952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mw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eg\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1E75-0EEF-4A68-978C-4E62467A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239</TotalTime>
  <Pages>2</Pages>
  <Words>975</Words>
  <Characters>5725</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Sieg</dc:creator>
  <cp:keywords/>
  <dc:description/>
  <cp:lastModifiedBy>Mike Burke</cp:lastModifiedBy>
  <cp:revision>7</cp:revision>
  <cp:lastPrinted>2019-08-21T19:18:00Z</cp:lastPrinted>
  <dcterms:created xsi:type="dcterms:W3CDTF">2022-07-12T13:18:00Z</dcterms:created>
  <dcterms:modified xsi:type="dcterms:W3CDTF">2022-07-12T17:18:00Z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